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FF3B3F7" wp14:paraId="1B4EE009" wp14:textId="0E28F1F3">
      <w:pPr>
        <w:shd w:val="clear" w:color="auto" w:fill="FFFFFF" w:themeFill="background1"/>
        <w:spacing w:after="1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667F5D5F">
        <w:drawing>
          <wp:inline xmlns:wp14="http://schemas.microsoft.com/office/word/2010/wordprocessingDrawing" wp14:editId="4C394D7B" wp14:anchorId="3F74FCBF">
            <wp:extent cx="5943600" cy="819150"/>
            <wp:effectExtent l="0" t="0" r="0" b="0"/>
            <wp:docPr id="110017891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00178917" name=""/>
                    <pic:cNvPicPr/>
                  </pic:nvPicPr>
                  <pic:blipFill>
                    <a:blip xmlns:r="http://schemas.openxmlformats.org/officeDocument/2006/relationships" r:embed="rId187213809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FF3B3F7" w:rsidR="667F5D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xmlns:wp14="http://schemas.microsoft.com/office/word/2010/wordml" w:rsidP="1B0B3E55" wp14:paraId="173D1524" wp14:textId="36841C29">
      <w:pPr>
        <w:shd w:val="clear" w:color="auto" w:fill="FFFFFF" w:themeFill="background1"/>
        <w:spacing w:after="16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B0B3E55" w:rsidR="667F5D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SENATE BILL 2025-26-</w:t>
      </w:r>
      <w:r w:rsidRPr="1B0B3E55" w:rsidR="722E74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11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515"/>
        <w:gridCol w:w="180"/>
        <w:gridCol w:w="3585"/>
      </w:tblGrid>
      <w:tr w:rsidR="1FF3B3F7" w:rsidTr="70A89DFF" w14:paraId="0596E4E2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B0B3E55" w:rsidRDefault="1FF3B3F7" w14:paraId="6D966538" w14:textId="4BF84444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B0B3E55" w:rsidR="090F42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Date Introduced: </w:t>
            </w:r>
            <w:r w:rsidRPr="1B0B3E55" w:rsidR="6E4343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Friday, December 5</w:t>
            </w:r>
            <w:r w:rsidRPr="1B0B3E55" w:rsidR="6E4343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  <w:lang w:val="en-US"/>
              </w:rPr>
              <w:t>th</w:t>
            </w:r>
            <w:r w:rsidRPr="1B0B3E55" w:rsidR="6E4343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2025</w:t>
            </w:r>
          </w:p>
          <w:p w:rsidR="1FF3B3F7" w:rsidP="1FF3B3F7" w:rsidRDefault="1FF3B3F7" w14:paraId="027146E3" w14:textId="47B8BA73">
            <w:pPr>
              <w:spacing w:before="40" w:after="200"/>
              <w:ind w:left="-8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 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66D6185" w14:textId="130FB56E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"/>
              </w:rPr>
              <w:t>Title:</w:t>
            </w: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72F48A26" w14:textId="7B29F2B9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488B04A" w:rsidP="1FF3B3F7" w:rsidRDefault="1488B04A" w14:paraId="7F78265F" w14:textId="62C149AF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1FF3B3F7" w:rsidR="1488B04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Evaluation of Budget Request Prior to Meeting</w:t>
            </w:r>
          </w:p>
        </w:tc>
      </w:tr>
      <w:tr w:rsidR="1FF3B3F7" w:rsidTr="70A89DFF" w14:paraId="04E62B39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7C588A6" w14:textId="611DA96F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A2C0B58" w14:textId="22ED7097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"/>
              </w:rPr>
              <w:t>Authorship</w:t>
            </w: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: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26E9D40" w14:textId="2349204D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70A89DFF" w:rsidRDefault="1FF3B3F7" w14:paraId="61CFF99C" w14:textId="765F08D8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A89DFF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Sierra Maples, Finance &amp; Funding, Senator </w:t>
            </w:r>
            <w:r w:rsidRPr="70A89DFF" w:rsidR="22F1DE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(Chair)</w:t>
            </w:r>
          </w:p>
        </w:tc>
      </w:tr>
      <w:tr w:rsidR="1FF3B3F7" w:rsidTr="70A89DFF" w14:paraId="1F0ADE3D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11054E94" w14:textId="4E89D755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975A0C2" w14:textId="497BCCAB">
            <w:pPr>
              <w:spacing w:before="40" w:after="200"/>
              <w:ind w:left="-8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"/>
              </w:rPr>
              <w:t>Sponsorship</w:t>
            </w: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: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07523D3" w14:textId="2B4BBA89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70A89DFF" w:rsidRDefault="1FF3B3F7" w14:paraId="11732A04" w14:textId="0965CCBD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0A89DFF" w:rsidR="316C6C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Samarah </w:t>
            </w:r>
            <w:r w:rsidRPr="70A89DFF" w:rsidR="316C6C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Ziady</w:t>
            </w:r>
            <w:r w:rsidRPr="70A89DFF" w:rsidR="316C6C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, Finance &amp; </w:t>
            </w:r>
          </w:p>
          <w:p w:rsidR="1FF3B3F7" w:rsidP="70A89DFF" w:rsidRDefault="1FF3B3F7" w14:paraId="38EC9D7B" w14:textId="3634C915">
            <w:pPr>
              <w:spacing w:before="40" w:after="20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0A89DFF" w:rsidR="316C6C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Funding, Senator</w:t>
            </w:r>
          </w:p>
        </w:tc>
      </w:tr>
    </w:tbl>
    <w:p xmlns:wp14="http://schemas.microsoft.com/office/word/2010/wordml" w:rsidP="1FF3B3F7" wp14:paraId="2CF247CB" wp14:textId="3E401739">
      <w:pPr>
        <w:shd w:val="clear" w:color="auto" w:fill="FFFFFF" w:themeFill="background1"/>
        <w:bidi w:val="0"/>
        <w:spacing w:after="1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F3B3F7" w:rsidR="667F5D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xmlns:wp14="http://schemas.microsoft.com/office/word/2010/wordml" w:rsidP="1FF3B3F7" wp14:paraId="594841E1" wp14:textId="45DC1762">
      <w:pPr>
        <w:shd w:val="clear" w:color="auto" w:fill="FFFFFF" w:themeFill="background1"/>
        <w:bidi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F3B3F7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xmlns:wp14="http://schemas.microsoft.com/office/word/2010/wordml" w:rsidP="1B0B3E55" wp14:paraId="048357F0" wp14:textId="053ABCD6">
      <w:pPr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1B0B3E55" w:rsidR="74697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HEREAS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finance and funding commi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ttee 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responsibl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for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evaluating all student 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organizations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budget request to ensure proper use of student fee dollars, and; </w:t>
      </w:r>
      <w:r w:rsidRPr="1B0B3E55" w:rsidR="667F5D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FF3B3F7" wp14:paraId="21E4E4CE" wp14:textId="418AA246">
      <w:pPr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F3B3F7" w:rsidR="667F5D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1FF3B3F7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xmlns:wp14="http://schemas.microsoft.com/office/word/2010/wordml" w:rsidP="1B0B3E55" wp14:paraId="775F6D2D" wp14:textId="50F2651D">
      <w:pPr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1B0B3E55" w:rsidR="26C32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HEREAS</w:t>
      </w:r>
      <w:r w:rsidRPr="1B0B3E55" w:rsidR="667F5D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reviewing budget request prior to a committee meeting allows members to prepare informed questions, and 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efficacy during discussion, and; </w:t>
      </w:r>
      <w:r w:rsidRPr="1B0B3E55" w:rsidR="667F5D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FF3B3F7" wp14:paraId="72AB52C0" wp14:textId="26C021B7">
      <w:pPr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F3B3F7" w:rsidR="667F5D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1FF3B3F7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xmlns:wp14="http://schemas.microsoft.com/office/word/2010/wordml" w:rsidP="70A89DFF" wp14:paraId="0D3E7685" wp14:textId="0960013F">
      <w:pPr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A89DFF" w:rsidR="7AAFA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70A89DFF" w:rsidR="48B4DB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HEREAS</w:t>
      </w:r>
      <w:r w:rsidRPr="70A89DFF" w:rsidR="7AAFAD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0A89DFF" w:rsidR="7AAFAD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A89DFF" w:rsidR="67FCB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unreadiness</w:t>
      </w:r>
      <w:r w:rsidRPr="70A89DFF" w:rsidR="67FCB8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A89DFF" w:rsidR="6D137F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during meetings causes delays, confusion, and inconsistent scoring that negatively </w:t>
      </w:r>
      <w:r w:rsidRPr="70A89DFF" w:rsidR="6D137F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impacts</w:t>
      </w:r>
      <w:r w:rsidRPr="70A89DFF" w:rsidR="6D137F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fairness and timelines of funding decisions, and; </w:t>
      </w:r>
    </w:p>
    <w:p xmlns:wp14="http://schemas.microsoft.com/office/word/2010/wordml" w:rsidP="1FF3B3F7" wp14:paraId="63CDE62C" wp14:textId="242F886E">
      <w:pPr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B0B3E55" wp14:paraId="282544A0" wp14:textId="395B55A6">
      <w:pPr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1B0B3E55" w:rsidR="1F16E3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HEREAS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is necessary to amend the Finance and Funding Committee Bylaws to 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</w:t>
      </w: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expectation as a standard requirement. </w:t>
      </w:r>
    </w:p>
    <w:p xmlns:wp14="http://schemas.microsoft.com/office/word/2010/wordml" w:rsidP="021773CA" wp14:paraId="193AB0BB" wp14:textId="61B958FA">
      <w:pPr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1773CA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021773CA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w:rsidR="6D137F87" w:rsidP="1B0B3E55" w:rsidRDefault="6D137F87" w14:paraId="1EE04505" w14:textId="0F12CFFC">
      <w:pPr>
        <w:shd w:val="clear" w:color="auto" w:fill="FFFFFF" w:themeFill="background1"/>
        <w:spacing w:after="4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A89DFF" w:rsidR="34F91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THEREFOR BE IT</w:t>
      </w:r>
      <w:r w:rsidRPr="70A89DFF" w:rsidR="74BD01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70A89DFF" w:rsidR="67996C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ENACTED</w:t>
      </w:r>
      <w:r w:rsidRPr="70A89DFF" w:rsidR="437921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, </w:t>
      </w:r>
      <w:r w:rsidRPr="70A89DFF" w:rsidR="6D137F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by the Senate of the Student Government Association of the University of Colorado Denver: </w:t>
      </w:r>
      <w:r w:rsidRPr="70A89DFF" w:rsidR="6D137F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70A89DFF" w:rsidR="6D137F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Finance and Funding Committee Bylaws shall be amended under Article VI</w:t>
      </w:r>
      <w:r w:rsidRPr="70A89DFF" w:rsidR="7158B5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include</w:t>
      </w:r>
      <w:r w:rsidRPr="70A89DFF" w:rsidR="6D137F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0A89DFF" w:rsidR="01783E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All members of the Finance and Funding Committee </w:t>
      </w:r>
      <w:r w:rsidRPr="70A89DFF" w:rsidR="01783E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are required to</w:t>
      </w:r>
      <w:r w:rsidRPr="70A89DFF" w:rsidR="01783E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review each student organization's budget request in </w:t>
      </w:r>
      <w:r w:rsidRPr="70A89DFF" w:rsidR="01783E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MyLynx</w:t>
      </w:r>
      <w:r w:rsidRPr="70A89DFF" w:rsidR="01783E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prior to the start of every scheduled committee meeting. Members must also provide their comments, notes, or questions directly in the reviewer section under ‘Comments’ in </w:t>
      </w:r>
      <w:r w:rsidRPr="70A89DFF" w:rsidR="01783E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MyLynx</w:t>
      </w:r>
      <w:r w:rsidRPr="70A89DFF" w:rsidR="01783E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share feedback. This process ensures that all committee members </w:t>
      </w:r>
      <w:r w:rsidRPr="70A89DFF" w:rsidR="4C49285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</w:t>
      </w:r>
      <w:r w:rsidRPr="70A89DFF" w:rsidR="01783E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review and consider one another’s input before the meeting discussion begins.</w:t>
      </w:r>
    </w:p>
    <w:p w:rsidR="0E4CC923" w:rsidP="0E4CC923" w:rsidRDefault="0E4CC923" w14:paraId="74E291BA" w14:textId="615F0894">
      <w:pPr>
        <w:pStyle w:val="Normal"/>
        <w:shd w:val="clear" w:color="auto" w:fill="FFFFFF" w:themeFill="background1"/>
        <w:bidi w:val="0"/>
        <w:spacing w:after="4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B0B3E55" wp14:paraId="6848A7BE" wp14:textId="1624BE6C">
      <w:pPr>
        <w:shd w:val="clear" w:color="auto" w:fill="FFFFFF" w:themeFill="background1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0B3E55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Ratified by the Senate:  </w:t>
      </w:r>
      <w:r w:rsidRPr="1B0B3E55" w:rsidR="0D519B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Friday, December 5</w:t>
      </w:r>
      <w:r w:rsidRPr="1B0B3E55" w:rsidR="0D519B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>th</w:t>
      </w:r>
      <w:r w:rsidRPr="1B0B3E55" w:rsidR="0D519B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2025</w:t>
      </w:r>
    </w:p>
    <w:p xmlns:wp14="http://schemas.microsoft.com/office/word/2010/wordml" w:rsidP="1FF3B3F7" wp14:paraId="5E165538" wp14:textId="7239767F">
      <w:pPr>
        <w:shd w:val="clear" w:color="auto" w:fill="FFFFFF" w:themeFill="background1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F3B3F7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  </w:t>
      </w:r>
    </w:p>
    <w:p xmlns:wp14="http://schemas.microsoft.com/office/word/2010/wordml" w:rsidP="1FF3B3F7" wp14:paraId="3B22424C" wp14:textId="1619BC4B">
      <w:pPr>
        <w:shd w:val="clear" w:color="auto" w:fill="FFFFFF" w:themeFill="background1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F3B3F7" w:rsidR="667F5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 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635"/>
      </w:tblGrid>
      <w:tr w:rsidR="1FF3B3F7" w:rsidTr="1FF3B3F7" w14:paraId="12D1D2E4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A28FD01" w14:textId="33500166">
            <w:pPr>
              <w:bidi w:val="0"/>
              <w:spacing w:before="40" w:after="4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______________________________   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011F319E" w14:textId="63623D37">
            <w:pPr>
              <w:bidi w:val="0"/>
              <w:spacing w:before="40" w:after="4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______________________________   </w:t>
            </w:r>
          </w:p>
        </w:tc>
      </w:tr>
      <w:tr w:rsidR="1FF3B3F7" w:rsidTr="1FF3B3F7" w14:paraId="058AA903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18A7A33" w14:textId="4B1E7321">
            <w:pPr>
              <w:bidi w:val="0"/>
              <w:spacing w:before="40" w:after="4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Mitchell Mauro, </w:t>
            </w: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President</w:t>
            </w: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  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1FF3B3F7" w:rsidP="1FF3B3F7" w:rsidRDefault="1FF3B3F7" w14:paraId="65876FD9" w14:textId="0832CE7B">
            <w:pPr>
              <w:bidi w:val="0"/>
              <w:spacing w:before="40" w:after="40"/>
              <w:ind w:left="-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Juan Diaz, </w:t>
            </w: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Vice President</w:t>
            </w:r>
            <w:r w:rsidRPr="1FF3B3F7" w:rsidR="1FF3B3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  </w:t>
            </w:r>
          </w:p>
        </w:tc>
      </w:tr>
    </w:tbl>
    <w:p xmlns:wp14="http://schemas.microsoft.com/office/word/2010/wordml" w:rsidP="1FF3B3F7" wp14:paraId="6762CAB1" wp14:textId="705B8DF4">
      <w:pPr>
        <w:shd w:val="clear" w:color="auto" w:fill="FFFFFF" w:themeFill="background1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F3B3F7" w:rsidR="667F5D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xmlns:wp14="http://schemas.microsoft.com/office/word/2010/wordml" w:rsidP="1FF3B3F7" wp14:paraId="4B2DA35A" wp14:textId="6134E26C">
      <w:pPr>
        <w:shd w:val="clear" w:color="auto" w:fill="FFFFFF" w:themeFill="background1"/>
        <w:bidi w:val="0"/>
        <w:spacing w:after="1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F3B3F7" w:rsidR="667F5D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</w:t>
      </w:r>
    </w:p>
    <w:p xmlns:wp14="http://schemas.microsoft.com/office/word/2010/wordml" w:rsidP="1FF3B3F7" wp14:paraId="2E5EA680" wp14:textId="74902FA7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xmlns:wp14="http://schemas.microsoft.com/office/word/2010/wordml" wp14:paraId="2C078E63" wp14:textId="1CE7917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F3F16E"/>
    <w:rsid w:val="01033829"/>
    <w:rsid w:val="0124CF00"/>
    <w:rsid w:val="01783E4A"/>
    <w:rsid w:val="021773CA"/>
    <w:rsid w:val="022CFE82"/>
    <w:rsid w:val="03B7E0BC"/>
    <w:rsid w:val="0518CF31"/>
    <w:rsid w:val="07198172"/>
    <w:rsid w:val="090F429B"/>
    <w:rsid w:val="0D519B66"/>
    <w:rsid w:val="0DF33266"/>
    <w:rsid w:val="0E4CC923"/>
    <w:rsid w:val="0FCB1900"/>
    <w:rsid w:val="10793CD5"/>
    <w:rsid w:val="1255503F"/>
    <w:rsid w:val="1488B04A"/>
    <w:rsid w:val="1855D572"/>
    <w:rsid w:val="1A79F072"/>
    <w:rsid w:val="1AEEBE2D"/>
    <w:rsid w:val="1B0B3E55"/>
    <w:rsid w:val="1BD553EB"/>
    <w:rsid w:val="1D924F25"/>
    <w:rsid w:val="1F16E301"/>
    <w:rsid w:val="1FF3B3F7"/>
    <w:rsid w:val="21AE9621"/>
    <w:rsid w:val="22F1DEF7"/>
    <w:rsid w:val="250DF269"/>
    <w:rsid w:val="268CF2C7"/>
    <w:rsid w:val="26C3268B"/>
    <w:rsid w:val="275803C3"/>
    <w:rsid w:val="278E0B9A"/>
    <w:rsid w:val="29957F84"/>
    <w:rsid w:val="305E6FCD"/>
    <w:rsid w:val="316C6C3D"/>
    <w:rsid w:val="3405AA5C"/>
    <w:rsid w:val="34926372"/>
    <w:rsid w:val="34F91F4C"/>
    <w:rsid w:val="365D6A25"/>
    <w:rsid w:val="3C6B5CB9"/>
    <w:rsid w:val="403FE9F3"/>
    <w:rsid w:val="437921C2"/>
    <w:rsid w:val="48B4DB8B"/>
    <w:rsid w:val="4C2FBCD2"/>
    <w:rsid w:val="4C492851"/>
    <w:rsid w:val="4EF73718"/>
    <w:rsid w:val="566EF978"/>
    <w:rsid w:val="58CE306A"/>
    <w:rsid w:val="5E84AC4B"/>
    <w:rsid w:val="5F4D7E39"/>
    <w:rsid w:val="60718AF8"/>
    <w:rsid w:val="60A454FF"/>
    <w:rsid w:val="6217C15D"/>
    <w:rsid w:val="667F5D5F"/>
    <w:rsid w:val="67996CB3"/>
    <w:rsid w:val="67FCB8BA"/>
    <w:rsid w:val="68F3F16E"/>
    <w:rsid w:val="6C46C189"/>
    <w:rsid w:val="6D137F87"/>
    <w:rsid w:val="6E2EEA6A"/>
    <w:rsid w:val="6E43433E"/>
    <w:rsid w:val="709BC4FA"/>
    <w:rsid w:val="70A89DFF"/>
    <w:rsid w:val="7158B572"/>
    <w:rsid w:val="722E748B"/>
    <w:rsid w:val="730C350E"/>
    <w:rsid w:val="735C1D4F"/>
    <w:rsid w:val="746973BB"/>
    <w:rsid w:val="74BD01CF"/>
    <w:rsid w:val="751AB65C"/>
    <w:rsid w:val="7611304A"/>
    <w:rsid w:val="778C961F"/>
    <w:rsid w:val="79A67A69"/>
    <w:rsid w:val="7AAFA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F16E"/>
  <w15:chartTrackingRefBased/>
  <w15:docId w15:val="{70CF94A9-8F11-4543-8EAF-0D6DE0539B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872138092" /><Relationship Type="http://schemas.openxmlformats.org/officeDocument/2006/relationships/webSettings" Target="webSettings.xml" Id="rId3" /><Relationship Type="http://schemas.openxmlformats.org/officeDocument/2006/relationships/image" Target="/media/image.png" Id="rId1872138091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872138094" /><Relationship Type="http://schemas.openxmlformats.org/officeDocument/2006/relationships/theme" Target="theme/theme1.xml" Id="rId5" /><Relationship Type="http://schemas.openxmlformats.org/officeDocument/2006/relationships/customXml" Target="../customXml/item2.xml" Id="rId1872138093" /><Relationship Type="http://schemas.openxmlformats.org/officeDocument/2006/relationships/fontTable" Target="fontTable.xml" Id="rId4" /><Relationship Type="http://schemas.microsoft.com/office/2016/09/relationships/commentsIds" Target="commentsIds.xml" Id="Ra2f9b294ba1f4d5b" /><Relationship Type="http://schemas.microsoft.com/office/2011/relationships/commentsExtended" Target="commentsExtended.xml" Id="Rc0fbf22b5b7141e8" /><Relationship Type="http://schemas.microsoft.com/office/2011/relationships/people" Target="people.xml" Id="R672ab371df3b4c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0c16c83bbcb78948ecff32dd67cee4a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b9e7ef81ba4954809e94acd69d012107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A058DDA1-DB4C-4972-89ED-06DC3394A76D}"/>
</file>

<file path=customXml/itemProps2.xml><?xml version="1.0" encoding="utf-8"?>
<ds:datastoreItem xmlns:ds="http://schemas.openxmlformats.org/officeDocument/2006/customXml" ds:itemID="{A9026046-2ADD-4797-9E79-6E7D8D264761}"/>
</file>

<file path=customXml/itemProps3.xml><?xml version="1.0" encoding="utf-8"?>
<ds:datastoreItem xmlns:ds="http://schemas.openxmlformats.org/officeDocument/2006/customXml" ds:itemID="{9CF4ACC7-2333-447A-AD3C-203D0C88FC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Maples, Sierra</dc:creator>
  <keywords/>
  <dc:description/>
  <lastModifiedBy>Diaz, Juan</lastModifiedBy>
  <dcterms:created xsi:type="dcterms:W3CDTF">2025-10-23T18:33:18.0000000Z</dcterms:created>
  <dcterms:modified xsi:type="dcterms:W3CDTF">2025-12-01T20:47:49.5749790Z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