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9F2CE" w14:textId="68A27663" w:rsidR="00020F3C" w:rsidRDefault="00020F3C" w:rsidP="00020F3C">
      <w:pPr>
        <w:pStyle w:val="Heading1"/>
        <w:rPr>
          <w:snapToGrid w:val="0"/>
        </w:rPr>
      </w:pPr>
      <w:r>
        <w:rPr>
          <w:snapToGrid w:val="0"/>
        </w:rPr>
        <w:t>Language to include in Faculty Offer Letters when hiring a retiree (replaces the benefits information in Faculty LOO templates):</w:t>
      </w:r>
    </w:p>
    <w:p w14:paraId="5BF2DD06" w14:textId="0F160ABF" w:rsidR="00020F3C" w:rsidRDefault="00020F3C" w:rsidP="008971C8">
      <w:pPr>
        <w:pStyle w:val="WPDefaults"/>
        <w:tabs>
          <w:tab w:val="clear" w:pos="11520"/>
        </w:tabs>
        <w:rPr>
          <w:rFonts w:ascii="Arial" w:hAnsi="Arial" w:cs="Arial"/>
          <w:b/>
          <w:snapToGrid w:val="0"/>
          <w:color w:val="auto"/>
          <w:sz w:val="20"/>
          <w:u w:val="single"/>
        </w:rPr>
      </w:pPr>
    </w:p>
    <w:p w14:paraId="5BA6F383" w14:textId="77777777" w:rsidR="00020F3C" w:rsidRDefault="00020F3C" w:rsidP="008971C8">
      <w:pPr>
        <w:pStyle w:val="WPDefaults"/>
        <w:tabs>
          <w:tab w:val="clear" w:pos="11520"/>
        </w:tabs>
        <w:rPr>
          <w:rFonts w:ascii="Arial" w:hAnsi="Arial" w:cs="Arial"/>
          <w:b/>
          <w:snapToGrid w:val="0"/>
          <w:color w:val="auto"/>
          <w:sz w:val="20"/>
          <w:u w:val="single"/>
        </w:rPr>
      </w:pPr>
    </w:p>
    <w:p w14:paraId="5FF59868" w14:textId="77777777" w:rsidR="00020F3C" w:rsidRDefault="00020F3C" w:rsidP="008971C8">
      <w:pPr>
        <w:pStyle w:val="WPDefaults"/>
        <w:tabs>
          <w:tab w:val="clear" w:pos="11520"/>
        </w:tabs>
        <w:rPr>
          <w:rFonts w:ascii="Arial" w:hAnsi="Arial" w:cs="Arial"/>
          <w:b/>
          <w:snapToGrid w:val="0"/>
          <w:color w:val="auto"/>
          <w:sz w:val="20"/>
          <w:u w:val="single"/>
        </w:rPr>
      </w:pPr>
    </w:p>
    <w:p w14:paraId="7727C301" w14:textId="7E7E9A78" w:rsidR="0037737C" w:rsidRPr="0037737C" w:rsidRDefault="0037737C" w:rsidP="008971C8">
      <w:pPr>
        <w:pStyle w:val="WPDefaults"/>
        <w:tabs>
          <w:tab w:val="clear" w:pos="11520"/>
        </w:tabs>
        <w:rPr>
          <w:rFonts w:ascii="Arial" w:hAnsi="Arial" w:cs="Arial"/>
          <w:b/>
          <w:snapToGrid w:val="0"/>
          <w:color w:val="auto"/>
          <w:sz w:val="20"/>
          <w:u w:val="single"/>
        </w:rPr>
      </w:pPr>
      <w:r w:rsidRPr="0037737C">
        <w:rPr>
          <w:rFonts w:ascii="Arial" w:hAnsi="Arial" w:cs="Arial"/>
          <w:b/>
          <w:snapToGrid w:val="0"/>
          <w:color w:val="auto"/>
          <w:sz w:val="20"/>
          <w:u w:val="single"/>
        </w:rPr>
        <w:t>Language to include for ORP Retirees:</w:t>
      </w:r>
    </w:p>
    <w:p w14:paraId="7BB978CD" w14:textId="77777777" w:rsidR="0037737C" w:rsidRDefault="0037737C" w:rsidP="008971C8">
      <w:pPr>
        <w:pStyle w:val="WPDefaults"/>
        <w:tabs>
          <w:tab w:val="clear" w:pos="11520"/>
        </w:tabs>
        <w:rPr>
          <w:rFonts w:ascii="Arial" w:hAnsi="Arial" w:cs="Arial"/>
          <w:snapToGrid w:val="0"/>
          <w:color w:val="auto"/>
          <w:sz w:val="20"/>
        </w:rPr>
      </w:pPr>
    </w:p>
    <w:p w14:paraId="486C432A" w14:textId="7A826348" w:rsidR="008971C8" w:rsidRDefault="008971C8" w:rsidP="008971C8">
      <w:pPr>
        <w:pStyle w:val="WPDefaults"/>
        <w:tabs>
          <w:tab w:val="clear" w:pos="11520"/>
        </w:tabs>
        <w:rPr>
          <w:rFonts w:ascii="Arial" w:hAnsi="Arial" w:cs="Arial"/>
          <w:snapToGrid w:val="0"/>
          <w:color w:val="auto"/>
          <w:sz w:val="20"/>
        </w:rPr>
      </w:pPr>
      <w:r w:rsidRPr="00BE26CB">
        <w:rPr>
          <w:rFonts w:ascii="Arial" w:hAnsi="Arial" w:cs="Arial"/>
          <w:snapToGrid w:val="0"/>
          <w:color w:val="auto"/>
          <w:sz w:val="20"/>
        </w:rPr>
        <w:t xml:space="preserve">As a retiree, you will be responsible for monitoring the effect this employment may have on your retirement compensation or benefits. </w:t>
      </w:r>
    </w:p>
    <w:p w14:paraId="0EB5CB5F" w14:textId="77777777" w:rsidR="008971C8" w:rsidRDefault="008971C8" w:rsidP="008971C8">
      <w:pPr>
        <w:pStyle w:val="WPDefaults"/>
        <w:tabs>
          <w:tab w:val="clear" w:pos="11520"/>
        </w:tabs>
        <w:rPr>
          <w:rFonts w:ascii="Arial" w:hAnsi="Arial" w:cs="Arial"/>
          <w:snapToGrid w:val="0"/>
          <w:color w:val="auto"/>
          <w:sz w:val="20"/>
        </w:rPr>
      </w:pPr>
    </w:p>
    <w:p w14:paraId="1978E932" w14:textId="7C5973A0" w:rsidR="008971C8" w:rsidRDefault="008971C8" w:rsidP="008971C8">
      <w:pPr>
        <w:pStyle w:val="WPDefaults"/>
        <w:tabs>
          <w:tab w:val="clear" w:pos="11520"/>
        </w:tabs>
        <w:rPr>
          <w:rFonts w:ascii="Arial" w:hAnsi="Arial" w:cs="Arial"/>
          <w:snapToGrid w:val="0"/>
          <w:color w:val="auto"/>
          <w:sz w:val="20"/>
        </w:rPr>
      </w:pPr>
      <w:r w:rsidRPr="00BE26CB">
        <w:rPr>
          <w:rFonts w:ascii="Arial" w:hAnsi="Arial" w:cs="Arial"/>
          <w:snapToGrid w:val="0"/>
          <w:color w:val="auto"/>
          <w:sz w:val="20"/>
        </w:rPr>
        <w:t xml:space="preserve">You are not eligible for employee benefit programs but may be eligible for University retiree benefits. Please contact Employee Services for information about payroll and benefits at 303-860-4200.  </w:t>
      </w:r>
    </w:p>
    <w:p w14:paraId="4E96F0A4" w14:textId="77777777" w:rsidR="008971C8" w:rsidRDefault="008971C8" w:rsidP="008971C8">
      <w:pPr>
        <w:pStyle w:val="WPDefaults"/>
        <w:tabs>
          <w:tab w:val="clear" w:pos="11520"/>
        </w:tabs>
        <w:rPr>
          <w:rFonts w:ascii="Arial" w:hAnsi="Arial" w:cs="Arial"/>
          <w:snapToGrid w:val="0"/>
          <w:color w:val="auto"/>
          <w:sz w:val="20"/>
        </w:rPr>
      </w:pPr>
    </w:p>
    <w:p w14:paraId="4EA0CBB2" w14:textId="155C4A9C" w:rsidR="000741DC" w:rsidRDefault="008971C8" w:rsidP="008971C8">
      <w:pPr>
        <w:rPr>
          <w:rFonts w:ascii="Arial" w:hAnsi="Arial" w:cs="Arial"/>
          <w:sz w:val="20"/>
          <w:szCs w:val="20"/>
        </w:rPr>
      </w:pPr>
      <w:r w:rsidRPr="00D11AB1">
        <w:rPr>
          <w:rFonts w:ascii="Arial" w:hAnsi="Arial" w:cs="Arial"/>
          <w:sz w:val="20"/>
          <w:szCs w:val="20"/>
        </w:rPr>
        <w:t xml:space="preserve">As a result of the Healthy Families and Workplace Act effective January 1, 2021, you will earn .034 hours </w:t>
      </w:r>
      <w:r>
        <w:rPr>
          <w:rFonts w:ascii="Arial" w:hAnsi="Arial" w:cs="Arial"/>
          <w:sz w:val="20"/>
          <w:szCs w:val="20"/>
        </w:rPr>
        <w:t xml:space="preserve">of sick leave </w:t>
      </w:r>
      <w:r w:rsidRPr="00D11AB1">
        <w:rPr>
          <w:rFonts w:ascii="Arial" w:hAnsi="Arial" w:cs="Arial"/>
          <w:sz w:val="20"/>
          <w:szCs w:val="20"/>
        </w:rPr>
        <w:t>for each hour worked.  The maximum accrual is 48 hours per fiscal year.  </w:t>
      </w:r>
    </w:p>
    <w:p w14:paraId="10A6F926" w14:textId="70B0DC4D" w:rsidR="0037737C" w:rsidRDefault="0037737C" w:rsidP="008971C8"/>
    <w:p w14:paraId="4C006A56" w14:textId="7517F824" w:rsidR="0037737C" w:rsidRDefault="0037737C" w:rsidP="008971C8">
      <w:pPr>
        <w:rPr>
          <w:rFonts w:ascii="Arial" w:hAnsi="Arial" w:cs="Arial"/>
          <w:b/>
          <w:snapToGrid w:val="0"/>
          <w:sz w:val="20"/>
          <w:u w:val="single"/>
        </w:rPr>
      </w:pPr>
      <w:r w:rsidRPr="0037737C">
        <w:rPr>
          <w:rFonts w:ascii="Arial" w:hAnsi="Arial" w:cs="Arial"/>
          <w:b/>
          <w:snapToGrid w:val="0"/>
          <w:sz w:val="20"/>
          <w:u w:val="single"/>
        </w:rPr>
        <w:t xml:space="preserve">Language to include for </w:t>
      </w:r>
      <w:r>
        <w:rPr>
          <w:rFonts w:ascii="Arial" w:hAnsi="Arial" w:cs="Arial"/>
          <w:b/>
          <w:snapToGrid w:val="0"/>
          <w:sz w:val="20"/>
          <w:u w:val="single"/>
        </w:rPr>
        <w:t>PERA</w:t>
      </w:r>
      <w:r w:rsidRPr="0037737C">
        <w:rPr>
          <w:rFonts w:ascii="Arial" w:hAnsi="Arial" w:cs="Arial"/>
          <w:b/>
          <w:snapToGrid w:val="0"/>
          <w:sz w:val="20"/>
          <w:u w:val="single"/>
        </w:rPr>
        <w:t xml:space="preserve"> Retirees:</w:t>
      </w:r>
    </w:p>
    <w:p w14:paraId="5C0C2382" w14:textId="58BB0685" w:rsidR="0037737C" w:rsidRDefault="0037737C" w:rsidP="008971C8"/>
    <w:p w14:paraId="22280A17" w14:textId="2F6E835D" w:rsidR="0037737C" w:rsidRPr="00881F73" w:rsidRDefault="0037737C" w:rsidP="0037737C">
      <w:pPr>
        <w:pStyle w:val="WPDefaults"/>
        <w:tabs>
          <w:tab w:val="clear" w:pos="11520"/>
        </w:tabs>
        <w:rPr>
          <w:rFonts w:ascii="Arial" w:hAnsi="Arial" w:cs="Arial"/>
          <w:snapToGrid w:val="0"/>
          <w:color w:val="auto"/>
          <w:sz w:val="20"/>
        </w:rPr>
      </w:pPr>
      <w:r w:rsidRPr="00881F73">
        <w:rPr>
          <w:rFonts w:ascii="Arial" w:hAnsi="Arial" w:cs="Arial"/>
          <w:snapToGrid w:val="0"/>
          <w:color w:val="auto"/>
          <w:sz w:val="20"/>
        </w:rPr>
        <w:t>As a PER</w:t>
      </w:r>
      <w:bookmarkStart w:id="0" w:name="_GoBack"/>
      <w:bookmarkEnd w:id="0"/>
      <w:r w:rsidRPr="00881F73">
        <w:rPr>
          <w:rFonts w:ascii="Arial" w:hAnsi="Arial" w:cs="Arial"/>
          <w:snapToGrid w:val="0"/>
          <w:color w:val="auto"/>
          <w:sz w:val="20"/>
        </w:rPr>
        <w:t xml:space="preserve">A retiree, you will be responsible for monitoring the effect this employment may have on your PERA retirement benefits. </w:t>
      </w:r>
      <w:r w:rsidR="00EF5010" w:rsidRPr="00EF5010">
        <w:rPr>
          <w:rFonts w:ascii="Arial" w:hAnsi="Arial" w:cs="Arial"/>
          <w:snapToGrid w:val="0"/>
          <w:color w:val="auto"/>
          <w:sz w:val="20"/>
        </w:rPr>
        <w:t>You will pay a working retiree contribution to PERA. The contribution rate is determined by PERA and adjusted effective July 1 each year.</w:t>
      </w:r>
      <w:r w:rsidRPr="00881F73">
        <w:rPr>
          <w:rFonts w:ascii="Arial" w:hAnsi="Arial" w:cs="Arial"/>
          <w:snapToGrid w:val="0"/>
          <w:color w:val="auto"/>
          <w:sz w:val="20"/>
        </w:rPr>
        <w:t xml:space="preserve"> This working retiree contribution does not accrue any additional benefits and you are not eligible for a refund of these contributions.</w:t>
      </w:r>
      <w:r>
        <w:rPr>
          <w:rFonts w:ascii="Arial" w:hAnsi="Arial" w:cs="Arial"/>
          <w:snapToGrid w:val="0"/>
          <w:color w:val="auto"/>
          <w:sz w:val="20"/>
        </w:rPr>
        <w:t xml:space="preserve"> It is your responsibility to understand and comply with PERA’s working after retirement rules and work limit, and to keep track of your time worked under PERA, </w:t>
      </w:r>
      <w:r w:rsidRPr="00390B69">
        <w:rPr>
          <w:rFonts w:ascii="Arial" w:hAnsi="Arial" w:cs="Arial"/>
          <w:snapToGrid w:val="0"/>
          <w:color w:val="auto"/>
          <w:sz w:val="20"/>
        </w:rPr>
        <w:t>to avoid any possible reductions in your PERA benefit.</w:t>
      </w:r>
      <w:r>
        <w:rPr>
          <w:rFonts w:ascii="Arial" w:hAnsi="Arial" w:cs="Arial"/>
          <w:snapToGrid w:val="0"/>
          <w:color w:val="auto"/>
          <w:sz w:val="20"/>
        </w:rPr>
        <w:t xml:space="preserve"> Please review </w:t>
      </w:r>
      <w:hyperlink r:id="rId7" w:history="1">
        <w:r w:rsidRPr="002B3AB2">
          <w:rPr>
            <w:rStyle w:val="Hyperlink"/>
            <w:rFonts w:ascii="Arial" w:hAnsi="Arial" w:cs="Arial"/>
            <w:snapToGrid w:val="0"/>
            <w:sz w:val="20"/>
          </w:rPr>
          <w:t>PERA’s Working After Retirement booklet</w:t>
        </w:r>
      </w:hyperlink>
      <w:r>
        <w:rPr>
          <w:rFonts w:ascii="Arial" w:hAnsi="Arial" w:cs="Arial"/>
          <w:snapToGrid w:val="0"/>
          <w:color w:val="auto"/>
          <w:sz w:val="20"/>
        </w:rPr>
        <w:t xml:space="preserve"> for complete details, and refer to PERA directly with any questions.  </w:t>
      </w:r>
    </w:p>
    <w:p w14:paraId="7517DF35" w14:textId="77777777" w:rsidR="0037737C" w:rsidRPr="00881F73" w:rsidRDefault="0037737C" w:rsidP="0037737C">
      <w:pPr>
        <w:widowControl w:val="0"/>
        <w:tabs>
          <w:tab w:val="left" w:pos="180"/>
        </w:tabs>
        <w:spacing w:line="280" w:lineRule="exact"/>
        <w:rPr>
          <w:rFonts w:ascii="Arial" w:hAnsi="Arial" w:cs="Arial"/>
          <w:snapToGrid w:val="0"/>
          <w:sz w:val="20"/>
          <w:szCs w:val="20"/>
        </w:rPr>
      </w:pPr>
    </w:p>
    <w:p w14:paraId="2FDADFB4" w14:textId="77777777" w:rsidR="0037737C" w:rsidRDefault="0037737C" w:rsidP="0037737C">
      <w:pPr>
        <w:widowControl w:val="0"/>
        <w:rPr>
          <w:rFonts w:ascii="Arial" w:hAnsi="Arial" w:cs="Arial"/>
          <w:snapToGrid w:val="0"/>
          <w:sz w:val="20"/>
          <w:szCs w:val="20"/>
        </w:rPr>
      </w:pPr>
      <w:r w:rsidRPr="00881F73">
        <w:rPr>
          <w:rFonts w:ascii="Arial" w:hAnsi="Arial" w:cs="Arial"/>
          <w:snapToGrid w:val="0"/>
          <w:sz w:val="20"/>
          <w:szCs w:val="20"/>
        </w:rPr>
        <w:t xml:space="preserve">You are not eligible for employee benefit programs but may be eligible for University retiree benefits. Please contact Employee Services for information about payroll and benefits at 303-860-4200.  </w:t>
      </w:r>
    </w:p>
    <w:p w14:paraId="7AC4C225" w14:textId="77777777" w:rsidR="0037737C" w:rsidRDefault="0037737C" w:rsidP="0037737C">
      <w:pPr>
        <w:widowControl w:val="0"/>
        <w:rPr>
          <w:rFonts w:ascii="Arial" w:hAnsi="Arial" w:cs="Arial"/>
          <w:snapToGrid w:val="0"/>
          <w:sz w:val="20"/>
          <w:szCs w:val="20"/>
        </w:rPr>
      </w:pPr>
    </w:p>
    <w:p w14:paraId="19F6036C" w14:textId="695909C3" w:rsidR="0037737C" w:rsidRDefault="0037737C" w:rsidP="0037737C">
      <w:r w:rsidRPr="00CD0E8A">
        <w:rPr>
          <w:rFonts w:ascii="Arial" w:hAnsi="Arial" w:cs="Arial"/>
          <w:sz w:val="20"/>
          <w:szCs w:val="20"/>
        </w:rPr>
        <w:t xml:space="preserve">As a result of the Healthy Families and Workplace Act effective January 1, 2021, you will earn .034 hours </w:t>
      </w:r>
      <w:r>
        <w:rPr>
          <w:rFonts w:ascii="Arial" w:hAnsi="Arial" w:cs="Arial"/>
          <w:sz w:val="20"/>
          <w:szCs w:val="20"/>
        </w:rPr>
        <w:t xml:space="preserve">of sick leave </w:t>
      </w:r>
      <w:r w:rsidRPr="00CD0E8A">
        <w:rPr>
          <w:rFonts w:ascii="Arial" w:hAnsi="Arial" w:cs="Arial"/>
          <w:sz w:val="20"/>
          <w:szCs w:val="20"/>
        </w:rPr>
        <w:t>for each hour worked.  The maximum accrual is 48 hours per fiscal year.</w:t>
      </w:r>
    </w:p>
    <w:sectPr w:rsidR="0037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73"/>
    <w:rsid w:val="00020F3C"/>
    <w:rsid w:val="000741DC"/>
    <w:rsid w:val="0017020C"/>
    <w:rsid w:val="0037737C"/>
    <w:rsid w:val="008971C8"/>
    <w:rsid w:val="00D41E73"/>
    <w:rsid w:val="00E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9FB0"/>
  <w15:chartTrackingRefBased/>
  <w15:docId w15:val="{24B81695-D19F-452C-B44A-6EFFBEF2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1C8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F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rsid w:val="008971C8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</w:pPr>
    <w:rPr>
      <w:rFonts w:ascii="Chicago" w:eastAsia="Times New Roman" w:hAnsi="Chicago" w:cs="Times New Roman"/>
      <w:color w:val="000000"/>
      <w:sz w:val="24"/>
      <w:szCs w:val="20"/>
    </w:rPr>
  </w:style>
  <w:style w:type="character" w:styleId="Hyperlink">
    <w:name w:val="Hyperlink"/>
    <w:semiHidden/>
    <w:rsid w:val="0037737C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0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copera.org/files/f4a6a59df/2-55+11-22+Final_we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085F83BB7084FB462365815D05D64" ma:contentTypeVersion="13" ma:contentTypeDescription="Create a new document." ma:contentTypeScope="" ma:versionID="4ea55bdcea8ae20235d5b4f26ff1857b">
  <xsd:schema xmlns:xsd="http://www.w3.org/2001/XMLSchema" xmlns:xs="http://www.w3.org/2001/XMLSchema" xmlns:p="http://schemas.microsoft.com/office/2006/metadata/properties" xmlns:ns3="34e19da0-d62e-4445-9ca0-a4181d80c73d" xmlns:ns4="53d6cde1-6e67-47bf-9154-ed37639cafda" targetNamespace="http://schemas.microsoft.com/office/2006/metadata/properties" ma:root="true" ma:fieldsID="ae0884d079ddccbf5108ab828206727a" ns3:_="" ns4:_="">
    <xsd:import namespace="34e19da0-d62e-4445-9ca0-a4181d80c73d"/>
    <xsd:import namespace="53d6cde1-6e67-47bf-9154-ed37639ca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19da0-d62e-4445-9ca0-a4181d80c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6cde1-6e67-47bf-9154-ed37639ca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e19da0-d62e-4445-9ca0-a4181d80c73d" xsi:nil="true"/>
  </documentManagement>
</p:properties>
</file>

<file path=customXml/itemProps1.xml><?xml version="1.0" encoding="utf-8"?>
<ds:datastoreItem xmlns:ds="http://schemas.openxmlformats.org/officeDocument/2006/customXml" ds:itemID="{C6FB0933-3CA6-4EED-A8B2-9CC12E8EF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19A33-9D68-41D9-B577-DE5957AAF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19da0-d62e-4445-9ca0-a4181d80c73d"/>
    <ds:schemaRef ds:uri="53d6cde1-6e67-47bf-9154-ed37639ca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882E5-C814-466B-A701-00353BC9849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53d6cde1-6e67-47bf-9154-ed37639cafda"/>
    <ds:schemaRef ds:uri="34e19da0-d62e-4445-9ca0-a4181d80c7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Spademan, Frances</dc:creator>
  <cp:keywords/>
  <dc:description/>
  <cp:lastModifiedBy>Spademan, Frances</cp:lastModifiedBy>
  <cp:revision>4</cp:revision>
  <dcterms:created xsi:type="dcterms:W3CDTF">2023-03-17T18:43:00Z</dcterms:created>
  <dcterms:modified xsi:type="dcterms:W3CDTF">2023-04-13T19:01:00Z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0x010100E6E085F83BB7084FB462365815D05D64</vt:lpwstr>
  </property>
</Properties>
</file>